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DE4D12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FF151A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FF151A">
        <w:rPr>
          <w:color w:val="000099"/>
          <w:sz w:val="20"/>
        </w:rPr>
        <w:t xml:space="preserve">HR Branche: </w:t>
      </w:r>
      <w:r w:rsidRPr="00FF151A">
        <w:rPr>
          <w:color w:val="0070C0"/>
          <w:sz w:val="20"/>
        </w:rPr>
        <w:tab/>
      </w:r>
      <w:r w:rsidR="00151514">
        <w:rPr>
          <w:color w:val="0070C0"/>
          <w:sz w:val="24"/>
          <w:szCs w:val="20"/>
        </w:rPr>
        <w:t>HR-Software</w:t>
      </w:r>
      <w:r w:rsidRPr="00FF151A">
        <w:rPr>
          <w:color w:val="0070C0"/>
          <w:sz w:val="24"/>
          <w:szCs w:val="20"/>
        </w:rPr>
        <w:tab/>
      </w:r>
      <w:hyperlink r:id="rId9" w:history="1">
        <w:r w:rsidR="00151514" w:rsidRPr="00151514">
          <w:rPr>
            <w:rStyle w:val="Hyperlink"/>
            <w:color w:val="0070C0"/>
          </w:rPr>
          <w:t>www.HRweb.at/HR-Branchen/HR-Software</w:t>
        </w:r>
      </w:hyperlink>
      <w:r w:rsidR="00151514">
        <w:t xml:space="preserve"> 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  <w:bookmarkStart w:id="0" w:name="_GoBack"/>
      <w:bookmarkEnd w:id="0"/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F362C" w:rsidRPr="002F362C" w:rsidRDefault="002F362C" w:rsidP="002F362C">
      <w:pPr>
        <w:pStyle w:val="H3"/>
        <w:rPr>
          <w:color w:val="00B050"/>
        </w:rPr>
      </w:pPr>
      <w:r w:rsidRPr="002F362C">
        <w:rPr>
          <w:color w:val="00B050"/>
        </w:rPr>
        <w:t xml:space="preserve">20. SaaS </w:t>
      </w:r>
      <w:proofErr w:type="spellStart"/>
      <w:r w:rsidRPr="002F362C">
        <w:rPr>
          <w:color w:val="00B050"/>
        </w:rPr>
        <w:t>vs</w:t>
      </w:r>
      <w:proofErr w:type="spellEnd"/>
      <w:r w:rsidRPr="002F362C">
        <w:rPr>
          <w:color w:val="00B050"/>
        </w:rPr>
        <w:t xml:space="preserve"> </w:t>
      </w:r>
      <w:proofErr w:type="spellStart"/>
      <w:r w:rsidRPr="002F362C">
        <w:rPr>
          <w:color w:val="00B050"/>
        </w:rPr>
        <w:t>Inhouse</w:t>
      </w:r>
      <w:proofErr w:type="spellEnd"/>
      <w:r w:rsidRPr="002F362C">
        <w:rPr>
          <w:color w:val="00B050"/>
        </w:rPr>
        <w:t xml:space="preserve"> Server</w:t>
      </w:r>
    </w:p>
    <w:p w:rsidR="002F362C" w:rsidRPr="002F362C" w:rsidRDefault="002F362C" w:rsidP="002F362C">
      <w:pPr>
        <w:pStyle w:val="berschrift5"/>
      </w:pPr>
      <w:r w:rsidRPr="002F362C">
        <w:rPr>
          <w:color w:val="808080" w:themeColor="background1" w:themeShade="80"/>
        </w:rPr>
        <w:t xml:space="preserve">20.1 </w:t>
      </w:r>
      <w:r w:rsidRPr="002F362C">
        <w:t xml:space="preserve">Spielt für Ihre Kunden die Unterscheidung zwischen SaaS und </w:t>
      </w:r>
      <w:proofErr w:type="spellStart"/>
      <w:r w:rsidRPr="002F362C">
        <w:t>Inhouse</w:t>
      </w:r>
      <w:proofErr w:type="spellEnd"/>
      <w:r w:rsidRPr="002F362C">
        <w:t xml:space="preserve"> Server eine Rolle?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2F362C" w:rsidRPr="002F362C" w:rsidRDefault="002F362C" w:rsidP="002F362C">
      <w:pPr>
        <w:pStyle w:val="berschrift5"/>
      </w:pPr>
      <w:r w:rsidRPr="002F362C">
        <w:rPr>
          <w:color w:val="808080" w:themeColor="background1" w:themeShade="80"/>
        </w:rPr>
        <w:t>20.</w:t>
      </w:r>
      <w:r>
        <w:rPr>
          <w:color w:val="808080" w:themeColor="background1" w:themeShade="80"/>
        </w:rPr>
        <w:t>2</w:t>
      </w:r>
      <w:r w:rsidRPr="002F362C">
        <w:rPr>
          <w:color w:val="808080" w:themeColor="background1" w:themeShade="80"/>
        </w:rPr>
        <w:t xml:space="preserve"> </w:t>
      </w:r>
      <w:r w:rsidRPr="002F362C">
        <w:t>Wenn ja - welche? Wenn nein – weshalb nicht?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F362C" w:rsidRDefault="002F362C" w:rsidP="002F362C">
      <w:pPr>
        <w:pStyle w:val="berschrift5"/>
      </w:pPr>
      <w:r>
        <w:rPr>
          <w:color w:val="808080" w:themeColor="background1" w:themeShade="80"/>
        </w:rPr>
        <w:t>20.3</w:t>
      </w:r>
      <w:r w:rsidRPr="002F362C">
        <w:rPr>
          <w:color w:val="808080" w:themeColor="background1" w:themeShade="80"/>
        </w:rPr>
        <w:t xml:space="preserve"> </w:t>
      </w:r>
      <w:r w:rsidRPr="002F362C">
        <w:t>In welchem Fall sollte welche Version bevorzugt werden? (Zielsetzung, Unternehmensgr</w:t>
      </w:r>
      <w:r w:rsidRPr="002F362C">
        <w:t>ö</w:t>
      </w:r>
      <w:r w:rsidRPr="002F362C">
        <w:t xml:space="preserve">ße, </w:t>
      </w:r>
      <w:proofErr w:type="spellStart"/>
      <w:r w:rsidRPr="002F362C">
        <w:t>etc</w:t>
      </w:r>
      <w:proofErr w:type="spellEnd"/>
      <w:r w:rsidRPr="002F362C">
        <w:t>)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F362C" w:rsidRDefault="002F362C" w:rsidP="002F362C">
      <w:pPr>
        <w:pStyle w:val="H3"/>
        <w:rPr>
          <w:color w:val="00B050"/>
        </w:rPr>
      </w:pPr>
      <w:r w:rsidRPr="002F362C">
        <w:rPr>
          <w:color w:val="00B050"/>
        </w:rPr>
        <w:t>21. HR-Software-Apps</w:t>
      </w:r>
    </w:p>
    <w:p w:rsidR="0081283E" w:rsidRDefault="0081283E" w:rsidP="0081283E">
      <w:pPr>
        <w:pStyle w:val="berschrift5"/>
        <w:jc w:val="left"/>
      </w:pPr>
      <w:r>
        <w:t>Im 5-Jahres-Rhythmus frage ich nach HR-Software-Apps. Jetzt, 2022, ist es wieder so weit:</w:t>
      </w:r>
    </w:p>
    <w:p w:rsidR="0081283E" w:rsidRPr="00437141" w:rsidRDefault="0081283E" w:rsidP="0081283E">
      <w:pPr>
        <w:pStyle w:val="Listenabsatz"/>
        <w:numPr>
          <w:ilvl w:val="0"/>
          <w:numId w:val="16"/>
        </w:numPr>
        <w:spacing w:afterLines="60" w:after="144" w:line="240" w:lineRule="auto"/>
      </w:pPr>
      <w:r w:rsidRPr="00437141">
        <w:t xml:space="preserve">2017: </w:t>
      </w:r>
      <w:hyperlink r:id="rId12" w:history="1">
        <w:r w:rsidRPr="00437141">
          <w:rPr>
            <w:rStyle w:val="Hyperlink"/>
            <w:color w:val="auto"/>
          </w:rPr>
          <w:t>www.HRweb.at/2017/03/hr-software-apps-apps-was-tat-sich-in-den-letzten-5-jahren/</w:t>
        </w:r>
      </w:hyperlink>
      <w:r w:rsidRPr="00437141">
        <w:t xml:space="preserve"> </w:t>
      </w:r>
    </w:p>
    <w:p w:rsidR="0081283E" w:rsidRPr="00437141" w:rsidRDefault="0081283E" w:rsidP="0081283E">
      <w:pPr>
        <w:pStyle w:val="Listenabsatz"/>
        <w:numPr>
          <w:ilvl w:val="0"/>
          <w:numId w:val="16"/>
        </w:numPr>
        <w:spacing w:afterLines="60" w:after="144" w:line="240" w:lineRule="auto"/>
      </w:pPr>
      <w:r w:rsidRPr="00437141">
        <w:t xml:space="preserve">2012: </w:t>
      </w:r>
      <w:hyperlink r:id="rId13" w:history="1">
        <w:r w:rsidRPr="00437141">
          <w:rPr>
            <w:rStyle w:val="Hyperlink"/>
            <w:color w:val="auto"/>
          </w:rPr>
          <w:t>www.HRweb.at/2012/04/mobile-hr-software-2</w:t>
        </w:r>
      </w:hyperlink>
      <w:r w:rsidRPr="00437141">
        <w:t xml:space="preserve"> </w:t>
      </w:r>
    </w:p>
    <w:p w:rsidR="0081283E" w:rsidRPr="0081283E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F362C" w:rsidRPr="002F362C" w:rsidRDefault="002F362C" w:rsidP="002F362C">
      <w:pPr>
        <w:pStyle w:val="berschrift5"/>
      </w:pPr>
      <w:r w:rsidRPr="002F362C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1</w:t>
      </w:r>
      <w:r w:rsidRPr="002F362C">
        <w:rPr>
          <w:color w:val="808080" w:themeColor="background1" w:themeShade="80"/>
        </w:rPr>
        <w:t xml:space="preserve">.1 </w:t>
      </w:r>
      <w:r w:rsidRPr="002F362C">
        <w:t>Wohin entwickelten sich Ihre Apps bzgl. HR-Software seit 2017?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F362C" w:rsidRPr="002F362C" w:rsidRDefault="002F362C" w:rsidP="002F362C">
      <w:pPr>
        <w:pStyle w:val="berschrift5"/>
      </w:pPr>
      <w:r w:rsidRPr="002F362C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1</w:t>
      </w:r>
      <w:r w:rsidRPr="002F362C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2</w:t>
      </w:r>
      <w:r w:rsidRPr="002F362C">
        <w:rPr>
          <w:color w:val="808080" w:themeColor="background1" w:themeShade="80"/>
        </w:rPr>
        <w:t xml:space="preserve"> </w:t>
      </w:r>
      <w:r w:rsidRPr="002F362C">
        <w:t>Worin liegen die großen Vorteile?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F362C" w:rsidRPr="002F362C" w:rsidRDefault="002F362C" w:rsidP="002F362C">
      <w:pPr>
        <w:pStyle w:val="berschrift5"/>
      </w:pPr>
      <w:r w:rsidRPr="002F362C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 xml:space="preserve">.3 </w:t>
      </w:r>
      <w:r w:rsidRPr="002F362C">
        <w:t>Welche Entwicklungen der letzten 5 Jahre waren 2017 noch nicht absehbar?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F362C" w:rsidRPr="002F362C" w:rsidRDefault="002F362C" w:rsidP="002F362C">
      <w:pPr>
        <w:pStyle w:val="berschrift5"/>
      </w:pPr>
      <w:r w:rsidRPr="002F362C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.4</w:t>
      </w:r>
      <w:r w:rsidRPr="002F362C">
        <w:rPr>
          <w:color w:val="808080" w:themeColor="background1" w:themeShade="80"/>
        </w:rPr>
        <w:t xml:space="preserve"> </w:t>
      </w:r>
      <w:r w:rsidRPr="002F362C">
        <w:t>Wohin entwickeln sich Ihre HR-Software-Apps bis 2027?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F362C" w:rsidRPr="002F362C" w:rsidRDefault="002F362C" w:rsidP="0081283E">
      <w:pPr>
        <w:pStyle w:val="berschrift5"/>
        <w:jc w:val="left"/>
      </w:pPr>
      <w:r w:rsidRPr="002F362C">
        <w:rPr>
          <w:color w:val="808080" w:themeColor="background1" w:themeShade="80"/>
        </w:rPr>
        <w:t>2</w:t>
      </w:r>
      <w:r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.5</w:t>
      </w:r>
      <w:r w:rsidRPr="002F362C">
        <w:rPr>
          <w:color w:val="808080" w:themeColor="background1" w:themeShade="80"/>
        </w:rPr>
        <w:t xml:space="preserve"> </w:t>
      </w:r>
      <w:r w:rsidRPr="0081283E">
        <w:rPr>
          <w:color w:val="808080" w:themeColor="background1" w:themeShade="80"/>
        </w:rPr>
        <w:t>Eine Frage an jene, die bereits in unseren Interviews 2012 und 2017 vertreten waren:</w:t>
      </w:r>
      <w:r w:rsidR="0081283E">
        <w:br/>
      </w:r>
      <w:r w:rsidRPr="002F362C">
        <w:t>Welche Trends haben Sie damals bereits sehr exakt vorausgesagt und welche Prognosen sind nicht aufgegangen?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4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5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6"/>
      <w:headerReference w:type="first" r:id="rId17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12" w:rsidRDefault="00DE4D12" w:rsidP="000122E8">
      <w:pPr>
        <w:spacing w:after="0" w:line="240" w:lineRule="auto"/>
      </w:pPr>
      <w:r>
        <w:separator/>
      </w:r>
    </w:p>
  </w:endnote>
  <w:endnote w:type="continuationSeparator" w:id="0">
    <w:p w:rsidR="00DE4D12" w:rsidRDefault="00DE4D1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12" w:rsidRDefault="00DE4D12" w:rsidP="000122E8">
      <w:pPr>
        <w:spacing w:after="0" w:line="240" w:lineRule="auto"/>
      </w:pPr>
      <w:r>
        <w:separator/>
      </w:r>
    </w:p>
  </w:footnote>
  <w:footnote w:type="continuationSeparator" w:id="0">
    <w:p w:rsidR="00DE4D12" w:rsidRDefault="00DE4D1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02991" w:rsidRPr="00402991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B068C"/>
    <w:multiLevelType w:val="hybridMultilevel"/>
    <w:tmpl w:val="01964C92"/>
    <w:numStyleLink w:val="ImportierterStil5"/>
  </w:abstractNum>
  <w:abstractNum w:abstractNumId="1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7E81695B"/>
    <w:multiLevelType w:val="hybridMultilevel"/>
    <w:tmpl w:val="5A2A988A"/>
    <w:numStyleLink w:val="ImportierterStil8"/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5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DE4D12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2012/04/mobile-hr-software-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2017/03/hr-software-apps-apps-was-tat-sich-in-den-letzten-5-jahren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ike.Dormuth@HRweb.at" TargetMode="External"/><Relationship Id="rId10" Type="http://schemas.openxmlformats.org/officeDocument/2006/relationships/hyperlink" Target="http://www.HRweb.at/Experten-Interviews-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HR-Software" TargetMode="External"/><Relationship Id="rId14" Type="http://schemas.openxmlformats.org/officeDocument/2006/relationships/hyperlink" Target="mailto:Eva.Selan@HRweb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2022-01-18T16:55:00Z</dcterms:created>
  <dcterms:modified xsi:type="dcterms:W3CDTF">2022-01-18T17:02:00Z</dcterms:modified>
</cp:coreProperties>
</file>