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39FAF729" w14:textId="77777777" w:rsidR="00E123A1" w:rsidRPr="00E123A1" w:rsidRDefault="00E123A1" w:rsidP="00E123A1">
      <w:pPr>
        <w:pStyle w:val="berschrift3"/>
        <w:rPr>
          <w:bCs w:val="0"/>
          <w:lang w:val="de-AT"/>
        </w:rPr>
      </w:pPr>
      <w:r w:rsidRPr="00E123A1">
        <w:rPr>
          <w:bCs w:val="0"/>
          <w:lang w:val="de-AT"/>
        </w:rPr>
        <w:t>10. Führungskräfte &amp; KI</w:t>
      </w:r>
    </w:p>
    <w:p w14:paraId="6BE8B23D" w14:textId="77777777" w:rsidR="00E123A1" w:rsidRPr="00A472C3" w:rsidRDefault="00E123A1" w:rsidP="00E123A1">
      <w:pPr>
        <w:spacing w:afterLines="60" w:after="144" w:line="240" w:lineRule="auto"/>
      </w:pPr>
      <w:r>
        <w:t>1. Wie können Führungskräfte KI gezielt für sich nutzen?</w:t>
      </w:r>
    </w:p>
    <w:p w14:paraId="262AC38C" w14:textId="0F3CCDF8" w:rsidR="00E123A1" w:rsidRDefault="00E123A1" w:rsidP="00E123A1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590ABFE6" w14:textId="77777777" w:rsidR="00E123A1" w:rsidRPr="00C808DF" w:rsidRDefault="00E123A1" w:rsidP="00E123A1">
      <w:pPr>
        <w:spacing w:afterLines="60" w:after="144" w:line="240" w:lineRule="auto"/>
      </w:pPr>
      <w:r>
        <w:t xml:space="preserve">2. </w:t>
      </w:r>
      <w:r w:rsidRPr="00C808DF">
        <w:t>Welche Bereiche eignen sich besonders gut für den Einsatz von KI?</w:t>
      </w:r>
      <w:r>
        <w:t xml:space="preserve"> </w:t>
      </w:r>
    </w:p>
    <w:p w14:paraId="7B63290D" w14:textId="3034312D" w:rsidR="00E123A1" w:rsidRDefault="00E123A1" w:rsidP="00E123A1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0C70D092" w14:textId="77777777" w:rsidR="00E123A1" w:rsidRDefault="00E123A1" w:rsidP="00E123A1">
      <w:pPr>
        <w:spacing w:afterLines="60" w:after="144" w:line="240" w:lineRule="auto"/>
      </w:pPr>
      <w:r>
        <w:t>3. Wovon sollte man tunlichst die Finger lassen?</w:t>
      </w:r>
    </w:p>
    <w:p w14:paraId="7F4B009B" w14:textId="066762CC" w:rsidR="00E123A1" w:rsidRDefault="00E123A1" w:rsidP="00E123A1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E123A1" w:rsidRDefault="000365CC" w:rsidP="00E123A1">
      <w:pPr>
        <w:spacing w:afterLines="60" w:after="144" w:line="240" w:lineRule="auto"/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4F3E" w14:textId="77777777" w:rsidR="00A40C3F" w:rsidRDefault="00A40C3F" w:rsidP="000122E8">
      <w:pPr>
        <w:spacing w:after="0" w:line="240" w:lineRule="auto"/>
      </w:pPr>
      <w:r>
        <w:separator/>
      </w:r>
    </w:p>
  </w:endnote>
  <w:endnote w:type="continuationSeparator" w:id="0">
    <w:p w14:paraId="0B268791" w14:textId="77777777" w:rsidR="00A40C3F" w:rsidRDefault="00A40C3F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C747" w14:textId="77777777" w:rsidR="00A40C3F" w:rsidRDefault="00A40C3F" w:rsidP="000122E8">
      <w:pPr>
        <w:spacing w:after="0" w:line="240" w:lineRule="auto"/>
      </w:pPr>
      <w:r>
        <w:separator/>
      </w:r>
    </w:p>
  </w:footnote>
  <w:footnote w:type="continuationSeparator" w:id="0">
    <w:p w14:paraId="583D2EEB" w14:textId="77777777" w:rsidR="00A40C3F" w:rsidRDefault="00A40C3F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0B3"/>
    <w:multiLevelType w:val="hybridMultilevel"/>
    <w:tmpl w:val="148EF21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4"/>
  </w:num>
  <w:num w:numId="3" w16cid:durableId="2060861968">
    <w:abstractNumId w:val="3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5"/>
  </w:num>
  <w:num w:numId="7" w16cid:durableId="2013951351">
    <w:abstractNumId w:val="2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6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1786073784">
    <w:abstractNumId w:val="8"/>
  </w:num>
  <w:num w:numId="15" w16cid:durableId="144673569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0798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0C3F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756DF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23A1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2024-11-21T12:31:00Z</dcterms:created>
  <dcterms:modified xsi:type="dcterms:W3CDTF">2024-11-21T12:32:00Z</dcterms:modified>
</cp:coreProperties>
</file>